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4" w:lineRule="auto"/>
        <w:ind w:left="0" w:right="0"/>
        <w:jc w:val="center"/>
        <w:textAlignment w:val="baseline"/>
        <w:rPr>
          <w:rFonts w:hint="default" w:ascii="黑体" w:hAnsi="黑体" w:eastAsia="黑体" w:cs="黑体"/>
          <w:snapToGrid/>
          <w:color w:val="231F20"/>
          <w:spacing w:val="-9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231F20"/>
          <w:spacing w:val="-9"/>
          <w:kern w:val="0"/>
          <w:sz w:val="44"/>
          <w:szCs w:val="44"/>
          <w:lang w:val="en-US" w:eastAsia="zh-CN" w:bidi="ar"/>
        </w:rPr>
        <w:t>鄂尔多斯市成吉思汗陵旅游区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4" w:lineRule="auto"/>
        <w:ind w:left="0" w:right="0"/>
        <w:jc w:val="center"/>
        <w:textAlignment w:val="baseline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napToGrid/>
          <w:color w:val="231F20"/>
          <w:spacing w:val="-9"/>
          <w:kern w:val="0"/>
          <w:sz w:val="44"/>
          <w:szCs w:val="44"/>
          <w:lang w:val="en-US" w:eastAsia="zh-CN" w:bidi="ar"/>
        </w:rPr>
        <w:t>关于2022年财政总决算情况的报告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一、2022年预算收支执行情况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，旅游区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完成一般公共预算收入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累计完成1343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万元，汇总上级转移支付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收入共计20388万元，上年结余2281万元。旅游区一般公共预算支出累计完成20781万元，上解支出27万元，支出共计20808万元。收支相抵，本年年终滚存结余3203万元。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beforeAutospacing="0" w:after="0" w:afterAutospacing="0" w:line="600" w:lineRule="exact"/>
        <w:ind w:right="118" w:firstLine="640" w:firstLineChars="200"/>
        <w:jc w:val="lef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snapToGrid/>
          <w:color w:val="231F20"/>
          <w:spacing w:val="10"/>
          <w:kern w:val="0"/>
          <w:sz w:val="30"/>
          <w:szCs w:val="30"/>
          <w:lang w:val="en-US" w:eastAsia="zh-CN" w:bidi="ar"/>
        </w:rPr>
        <w:t>2022年重点财政工作</w:t>
      </w:r>
      <w:r>
        <w:rPr>
          <w:rFonts w:hint="eastAsia" w:ascii="仿宋" w:hAnsi="仿宋" w:eastAsia="仿宋" w:cs="仿宋"/>
          <w:b/>
          <w:bCs/>
          <w:snapToGrid/>
          <w:color w:val="231F20"/>
          <w:spacing w:val="1"/>
          <w:kern w:val="0"/>
          <w:sz w:val="30"/>
          <w:szCs w:val="30"/>
          <w:lang w:val="en-US" w:eastAsia="zh-CN" w:bidi="ar"/>
        </w:rPr>
        <w:t>开展</w:t>
      </w:r>
      <w:r>
        <w:rPr>
          <w:rFonts w:hint="eastAsia" w:ascii="仿宋" w:hAnsi="仿宋" w:eastAsia="仿宋" w:cs="仿宋"/>
          <w:b/>
          <w:bCs/>
          <w:snapToGrid/>
          <w:color w:val="231F20"/>
          <w:kern w:val="0"/>
          <w:sz w:val="30"/>
          <w:szCs w:val="30"/>
          <w:lang w:val="en-US" w:eastAsia="zh-CN" w:bidi="ar"/>
        </w:rPr>
        <w:t>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一是坚持发展导向，为景区提升蓄势聚力。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在文化旅游行业持续受到疫情冲击的大环境下，成陵旅游区积极发挥政府资金的综合拉动效应，充分利用疫情“空档期”，适当加大文旅设施投入力度，为疫情后的文旅产业发展蓄势蓄力。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近1.4亿元新建游客服务中心，翻新维修非遗文化区甘德尔敖包、木栈道、历史文化区气壮山河、铁马金帐等主要景点，维修改造供热管网、生态停车场等配套设施，实施绿化提升改造3万平米，启动智慧景区建设，有力促进了文旅服务环境迭代升级，极大充实了景区综合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二是坚守安全底线，筑牢疫情防控屏障。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疫情防控进入常态化阶段后，为了最大限度降低疫情传播风险，成陵旅游区严格落实国家有关政策，投资采购人证核验、消毒、测温、隔离、防护等相关设备，在景区设立核酸采样点为游客免费提供核酸检测，高效保障游客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三是落实旅游惠民政策，拉动景区二消增长。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以来，为了重塑文旅消费信心，激发广大群众的旅游意愿，成陵旅游区在落实常规免票政策的基础上，实行鄂尔多斯市户籍市民入园免票政策，一定程度上带动了旅游市场的恢复，同时，成陵旅游区挖掘红色文化资源，策划打造铸牢中华民族共同体意识展厅，布拉克浩特酒店重装开业，传统马术表演、鄂尔多斯婚礼演出等体验项目供给丰富，切实拉动景区二次消费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四是保障非遗文化传承，推动资源转化利用。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秉承文化引领的发展思路，优先保障非遗文化保护传承资金，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圆满完成“四时大典”等专项非遗传承活动，完善了非物质文化遗产档案和数据库，完成2022年度国家级、自治区级非物质文化遗产代表性传承人传承活动评估工作，积极探索中华传统文化与时代精神的契合点，通过多种载体将传统文化拉近到公众视野，推动文化事业向文化产业转变，把文化优势转化为发展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五是完善监督管理，防范化解财政风险。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预算管理制度改革，加强预算执行管理，简化财政前置性审批，开展部门预算执行情况监督检查。落实上级政府债务管控措施，加强政府性债务统计监控，开展财务领域自查自纠。深化预决算信息公开透明工作，管委会各部门预决算信息均按规定公开，接受社会监督。健全内部风险防控制度，强化内部流程控制，规范全力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成陵旅游区目前不涉及政府性基金预算、国有资本经营预算、社会保险基金预算。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DU4YTcwZGVlMDFlOTlmN2M2NmM2OWRmMDZjMjkifQ=="/>
  </w:docVars>
  <w:rsids>
    <w:rsidRoot w:val="00172A27"/>
    <w:rsid w:val="003357D8"/>
    <w:rsid w:val="00D6685C"/>
    <w:rsid w:val="010C14B7"/>
    <w:rsid w:val="01A36AFD"/>
    <w:rsid w:val="01CC6BA4"/>
    <w:rsid w:val="01F94138"/>
    <w:rsid w:val="02365500"/>
    <w:rsid w:val="04463D2B"/>
    <w:rsid w:val="04610781"/>
    <w:rsid w:val="07542753"/>
    <w:rsid w:val="07D21D7A"/>
    <w:rsid w:val="0B9F3BFB"/>
    <w:rsid w:val="0BE2040D"/>
    <w:rsid w:val="0D6E42F3"/>
    <w:rsid w:val="0D7A283F"/>
    <w:rsid w:val="0EFE0ACB"/>
    <w:rsid w:val="0F134D52"/>
    <w:rsid w:val="0F7D5325"/>
    <w:rsid w:val="0FE04A27"/>
    <w:rsid w:val="11DD1A47"/>
    <w:rsid w:val="12AA4AFA"/>
    <w:rsid w:val="14636234"/>
    <w:rsid w:val="165A6CCE"/>
    <w:rsid w:val="170F436D"/>
    <w:rsid w:val="19573E8D"/>
    <w:rsid w:val="1BFB594C"/>
    <w:rsid w:val="1C1B3898"/>
    <w:rsid w:val="1D961625"/>
    <w:rsid w:val="1E0A45AB"/>
    <w:rsid w:val="20AE6A88"/>
    <w:rsid w:val="21146753"/>
    <w:rsid w:val="24480FA2"/>
    <w:rsid w:val="24EA2C30"/>
    <w:rsid w:val="25626093"/>
    <w:rsid w:val="263A0820"/>
    <w:rsid w:val="26574FB2"/>
    <w:rsid w:val="266F7EC7"/>
    <w:rsid w:val="28485A15"/>
    <w:rsid w:val="28722A91"/>
    <w:rsid w:val="290E33C1"/>
    <w:rsid w:val="293E2974"/>
    <w:rsid w:val="2AA16656"/>
    <w:rsid w:val="2C3024DF"/>
    <w:rsid w:val="2CE872D4"/>
    <w:rsid w:val="2D4F15F3"/>
    <w:rsid w:val="2DF800BC"/>
    <w:rsid w:val="2E4215F5"/>
    <w:rsid w:val="2F066CA3"/>
    <w:rsid w:val="2FD94B85"/>
    <w:rsid w:val="30274161"/>
    <w:rsid w:val="306A447C"/>
    <w:rsid w:val="309844D9"/>
    <w:rsid w:val="30F11F43"/>
    <w:rsid w:val="31CD0D39"/>
    <w:rsid w:val="31DF2B68"/>
    <w:rsid w:val="3240738A"/>
    <w:rsid w:val="32B12343"/>
    <w:rsid w:val="37E8067A"/>
    <w:rsid w:val="393C6FF1"/>
    <w:rsid w:val="3953437D"/>
    <w:rsid w:val="3A0D7075"/>
    <w:rsid w:val="3A115435"/>
    <w:rsid w:val="3AB611BD"/>
    <w:rsid w:val="3BEE1FD7"/>
    <w:rsid w:val="3DF73ADD"/>
    <w:rsid w:val="3E2C2136"/>
    <w:rsid w:val="3E7826C7"/>
    <w:rsid w:val="3EDC080D"/>
    <w:rsid w:val="41886A2A"/>
    <w:rsid w:val="428510FD"/>
    <w:rsid w:val="42CF072D"/>
    <w:rsid w:val="44572A17"/>
    <w:rsid w:val="44C33E00"/>
    <w:rsid w:val="47F42B1C"/>
    <w:rsid w:val="482D709E"/>
    <w:rsid w:val="4836167B"/>
    <w:rsid w:val="487D1D36"/>
    <w:rsid w:val="494D47E1"/>
    <w:rsid w:val="49690A3B"/>
    <w:rsid w:val="4AD01E6A"/>
    <w:rsid w:val="4B005883"/>
    <w:rsid w:val="4D0312AD"/>
    <w:rsid w:val="4D2B4E39"/>
    <w:rsid w:val="4D3C519F"/>
    <w:rsid w:val="4F035942"/>
    <w:rsid w:val="4F672375"/>
    <w:rsid w:val="535D0EE1"/>
    <w:rsid w:val="53D36899"/>
    <w:rsid w:val="5406071B"/>
    <w:rsid w:val="55367BF4"/>
    <w:rsid w:val="55447A75"/>
    <w:rsid w:val="55BD25E9"/>
    <w:rsid w:val="55D07CDD"/>
    <w:rsid w:val="56061B33"/>
    <w:rsid w:val="56063820"/>
    <w:rsid w:val="56635AE1"/>
    <w:rsid w:val="568D3381"/>
    <w:rsid w:val="56D95906"/>
    <w:rsid w:val="57F5010A"/>
    <w:rsid w:val="584D1109"/>
    <w:rsid w:val="58A90F58"/>
    <w:rsid w:val="5A094754"/>
    <w:rsid w:val="5A3C15A0"/>
    <w:rsid w:val="5A826950"/>
    <w:rsid w:val="5AA533F8"/>
    <w:rsid w:val="5DA30A1C"/>
    <w:rsid w:val="5F2077BE"/>
    <w:rsid w:val="5F324363"/>
    <w:rsid w:val="5FB817E0"/>
    <w:rsid w:val="60490C84"/>
    <w:rsid w:val="60C17A92"/>
    <w:rsid w:val="621413E8"/>
    <w:rsid w:val="62983806"/>
    <w:rsid w:val="62C40669"/>
    <w:rsid w:val="63780255"/>
    <w:rsid w:val="638D6368"/>
    <w:rsid w:val="63BD210C"/>
    <w:rsid w:val="63FA3360"/>
    <w:rsid w:val="644524BE"/>
    <w:rsid w:val="64656A2B"/>
    <w:rsid w:val="648D2880"/>
    <w:rsid w:val="67B6759E"/>
    <w:rsid w:val="692549DB"/>
    <w:rsid w:val="69AD4C96"/>
    <w:rsid w:val="6A5366A1"/>
    <w:rsid w:val="6D5A0377"/>
    <w:rsid w:val="6DD32C57"/>
    <w:rsid w:val="70952446"/>
    <w:rsid w:val="70987F51"/>
    <w:rsid w:val="711D0293"/>
    <w:rsid w:val="72D80D10"/>
    <w:rsid w:val="738465B1"/>
    <w:rsid w:val="741D3431"/>
    <w:rsid w:val="75791DCB"/>
    <w:rsid w:val="75C52512"/>
    <w:rsid w:val="76A62431"/>
    <w:rsid w:val="76AB19E8"/>
    <w:rsid w:val="76D35A76"/>
    <w:rsid w:val="776D7AE6"/>
    <w:rsid w:val="781441F0"/>
    <w:rsid w:val="782A41B3"/>
    <w:rsid w:val="78324A1E"/>
    <w:rsid w:val="78FE2B52"/>
    <w:rsid w:val="7A3E58FC"/>
    <w:rsid w:val="7B5F0A4D"/>
    <w:rsid w:val="7BA06DB0"/>
    <w:rsid w:val="7E9F37DB"/>
    <w:rsid w:val="7EB44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Theme="minorAscii" w:hAnsiTheme="minorAscii"/>
      <w:kern w:val="44"/>
      <w:szCs w:val="24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index 9"/>
    <w:basedOn w:val="1"/>
    <w:next w:val="1"/>
    <w:qFormat/>
    <w:uiPriority w:val="99"/>
    <w:pPr>
      <w:ind w:left="336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666666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666666"/>
      <w:u w:val="none"/>
    </w:rPr>
  </w:style>
  <w:style w:type="character" w:customStyle="1" w:styleId="13">
    <w:name w:val="gray"/>
    <w:basedOn w:val="9"/>
    <w:qFormat/>
    <w:uiPriority w:val="0"/>
    <w:rPr>
      <w:color w:val="999999"/>
      <w:sz w:val="15"/>
      <w:szCs w:val="15"/>
    </w:rPr>
  </w:style>
  <w:style w:type="character" w:customStyle="1" w:styleId="14">
    <w:name w:val="ontle7"/>
    <w:basedOn w:val="9"/>
    <w:qFormat/>
    <w:uiPriority w:val="0"/>
    <w:rPr>
      <w:b/>
      <w:bCs/>
      <w:color w:val="222222"/>
    </w:rPr>
  </w:style>
  <w:style w:type="character" w:customStyle="1" w:styleId="15">
    <w:name w:val="red"/>
    <w:basedOn w:val="9"/>
    <w:qFormat/>
    <w:uiPriority w:val="0"/>
    <w:rPr>
      <w:color w:val="E91C1C"/>
    </w:rPr>
  </w:style>
  <w:style w:type="character" w:customStyle="1" w:styleId="16">
    <w:name w:val="red1"/>
    <w:basedOn w:val="9"/>
    <w:qFormat/>
    <w:uiPriority w:val="0"/>
    <w:rPr>
      <w:color w:val="D90505"/>
    </w:rPr>
  </w:style>
  <w:style w:type="character" w:customStyle="1" w:styleId="17">
    <w:name w:val="red2"/>
    <w:basedOn w:val="9"/>
    <w:qFormat/>
    <w:uiPriority w:val="0"/>
    <w:rPr>
      <w:color w:val="E91B1B"/>
    </w:rPr>
  </w:style>
  <w:style w:type="character" w:customStyle="1" w:styleId="18">
    <w:name w:val="current"/>
    <w:basedOn w:val="9"/>
    <w:qFormat/>
    <w:uiPriority w:val="0"/>
    <w:rPr>
      <w:color w:val="D90606"/>
    </w:rPr>
  </w:style>
  <w:style w:type="character" w:customStyle="1" w:styleId="19">
    <w:name w:val="tlewh"/>
    <w:basedOn w:val="9"/>
    <w:qFormat/>
    <w:uiPriority w:val="0"/>
  </w:style>
  <w:style w:type="character" w:customStyle="1" w:styleId="20">
    <w:name w:val="on1"/>
    <w:basedOn w:val="9"/>
    <w:qFormat/>
    <w:uiPriority w:val="0"/>
    <w:rPr>
      <w:color w:val="FFFFFF"/>
      <w:shd w:val="clear" w:color="auto" w:fill="D9060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2506</Words>
  <Characters>2618</Characters>
  <Lines>0</Lines>
  <Paragraphs>0</Paragraphs>
  <TotalTime>0</TotalTime>
  <ScaleCrop>false</ScaleCrop>
  <LinksUpToDate>false</LinksUpToDate>
  <CharactersWithSpaces>2620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eagle</dc:creator>
  <cp:lastModifiedBy>四叶草</cp:lastModifiedBy>
  <cp:lastPrinted>2022-12-08T08:18:00Z</cp:lastPrinted>
  <dcterms:modified xsi:type="dcterms:W3CDTF">2023-09-20T07:39:33Z</dcterms:modified>
  <dc:title>成吉思汗陵旅游区关于2019年预算执行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C190FA258BF9453190534187F32C95F0_13</vt:lpwstr>
  </property>
</Properties>
</file>