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themeColor="text1"/>
          <w:spacing w:val="0"/>
          <w:kern w:val="0"/>
          <w:sz w:val="21"/>
          <w:szCs w:val="21"/>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val="0"/>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44"/>
          <w:szCs w:val="44"/>
          <w:shd w:val="clear" w:fill="FFFFFF"/>
          <w:lang w:val="en-US" w:eastAsia="zh-CN" w:bidi="ar"/>
          <w14:textFill>
            <w14:solidFill>
              <w14:schemeClr w14:val="tx1"/>
            </w14:solidFill>
          </w14:textFill>
        </w:rPr>
        <w:t>公开2021年鄂尔多斯市成吉思汗陵旅游区管理委员会财政总决算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关于2021年鄂尔多斯市成吉思汗陵旅游区管理委员会财政决算和2022年上半年预算执行情况的报告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关于2021年度鄂尔多斯市成吉思汗陵旅游区管理委员财政拨款“三公”经费支出决算情况的说明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2021年成吉思汗陵旅游区管理委员会转移支付决算情况公开说明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关于2021年成吉思汗陵旅游区管理委员会一般公共预算收入决算的说明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关于2021年度成吉思汗陵旅游区管理委员会一般公共预算支出决算情况说明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2021年度成吉思汗陵旅游区管理委员会一般公共预算收入决算表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2021年成吉思汗陵旅游区一般公共预算本级支出表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8.2021年成吉思汗陵旅游区2021年一般公共预算本级支出决算功能分类明细表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9.2021年度成吉思汗陵旅游区一般公共预算税收返还和转移支付收入决算表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10.2021年成吉思汗陵旅游区一般公共预算对下税收返还和转移支付分地区决算表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11.2021年成吉思汗陵旅游区一般公共预算基本支出预算经济分类决算表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12.2021年度成吉思汗陵旅游区政府专项债务限额和余额情况表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13.2021年度成吉思汗陵旅游区政府性基金预算收入决算明细表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14.2021年度成吉思汗陵旅游区政府性基金预算支出决算表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15.2021年度成吉思汗陵旅游区政府性基金转移性支付表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16.2021年度成吉思汗陵旅游区地方政府专项债务限额和余额情况决算表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17.2021年度成吉思汗陵旅游区国有资本经营预算收入决算表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18.2021年度成吉思汗陵旅游区国有资本经营预算支出决算表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19.2021年成吉思汗陵旅游区国有资本经营预算转移性收支决算录入表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20.2021年度成吉思汗陵旅游区社会保险基金收入表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21.2021年度成吉思汗陵旅游区社会保险基金支出表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22.2021年成吉思汗旅游区财政拨款“三公”经费支出表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23.2021</w:t>
      </w:r>
      <w:bookmarkStart w:id="0" w:name="_GoBack"/>
      <w:bookmarkEnd w:id="0"/>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年度成吉思汗陵旅游区地方一般债务限额和余额情况表</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bidi w:val="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016E0"/>
    <w:multiLevelType w:val="singleLevel"/>
    <w:tmpl w:val="1C9016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DU4YTcwZGVlMDFlOTlmN2M2NmM2OWRmMDZjMjkifQ=="/>
  </w:docVars>
  <w:rsids>
    <w:rsidRoot w:val="00000000"/>
    <w:rsid w:val="115B6EA1"/>
    <w:rsid w:val="13052DB4"/>
    <w:rsid w:val="17163042"/>
    <w:rsid w:val="1B4A3B02"/>
    <w:rsid w:val="22280BB0"/>
    <w:rsid w:val="35D10DA9"/>
    <w:rsid w:val="3B4F3E86"/>
    <w:rsid w:val="3CF63D93"/>
    <w:rsid w:val="4A2334BC"/>
    <w:rsid w:val="698915C4"/>
    <w:rsid w:val="7682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657</Words>
  <Characters>782</Characters>
  <Lines>0</Lines>
  <Paragraphs>0</Paragraphs>
  <TotalTime>18</TotalTime>
  <ScaleCrop>false</ScaleCrop>
  <LinksUpToDate>false</LinksUpToDate>
  <CharactersWithSpaces>782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2020-10-19T08:31:00Z</dcterms:created>
  <dc:creator>1</dc:creator>
  <cp:lastModifiedBy>1</cp:lastModifiedBy>
  <cp:lastPrinted>2022-09-07T02:56:32Z</cp:lastPrinted>
  <dcterms:modified xsi:type="dcterms:W3CDTF">2022-09-07T02:58:14Z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B380EBD19B1A47078784E9B4E7BF00CB</vt:lpwstr>
  </property>
</Properties>
</file>